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3B7" w:rsidRPr="00E56ACA" w:rsidRDefault="00AF33B7" w:rsidP="00895BBC">
      <w:pPr>
        <w:widowControl w:val="0"/>
        <w:rPr>
          <w:color w:val="000000"/>
          <w:sz w:val="20"/>
        </w:rPr>
      </w:pPr>
      <w:bookmarkStart w:id="0" w:name="_GoBack"/>
      <w:bookmarkEnd w:id="0"/>
    </w:p>
    <w:p w:rsidR="00AF33B7" w:rsidRDefault="00AF33B7" w:rsidP="00895BBC">
      <w:pPr>
        <w:pStyle w:val="StyleJustified"/>
        <w:tabs>
          <w:tab w:val="clear" w:pos="567"/>
          <w:tab w:val="num" w:pos="-567"/>
        </w:tabs>
        <w:spacing w:before="0"/>
        <w:ind w:left="426" w:hanging="426"/>
        <w:rPr>
          <w:rFonts w:ascii="Arial" w:hAnsi="Arial" w:cs="Arial"/>
          <w:sz w:val="22"/>
          <w:szCs w:val="22"/>
        </w:rPr>
      </w:pPr>
      <w:r w:rsidRPr="00AE7078">
        <w:rPr>
          <w:rFonts w:ascii="Arial" w:hAnsi="Arial" w:cs="Arial"/>
          <w:sz w:val="22"/>
          <w:szCs w:val="22"/>
        </w:rPr>
        <w:t xml:space="preserve">In May 2007, the Review of </w:t>
      </w:r>
      <w:r>
        <w:rPr>
          <w:rFonts w:ascii="Arial" w:hAnsi="Arial" w:cs="Arial"/>
          <w:sz w:val="22"/>
          <w:szCs w:val="22"/>
        </w:rPr>
        <w:t>the</w:t>
      </w:r>
      <w:r w:rsidRPr="00AE7078">
        <w:rPr>
          <w:rFonts w:ascii="Arial" w:hAnsi="Arial" w:cs="Arial"/>
          <w:sz w:val="22"/>
          <w:szCs w:val="22"/>
        </w:rPr>
        <w:t xml:space="preserve"> Neighbourly Relations was launched</w:t>
      </w:r>
      <w:r>
        <w:rPr>
          <w:rFonts w:ascii="Arial" w:hAnsi="Arial" w:cs="Arial"/>
          <w:sz w:val="22"/>
          <w:szCs w:val="22"/>
        </w:rPr>
        <w:t>.</w:t>
      </w:r>
      <w:r w:rsidRPr="00AE7078">
        <w:rPr>
          <w:rFonts w:ascii="Arial" w:hAnsi="Arial" w:cs="Arial"/>
          <w:sz w:val="22"/>
          <w:szCs w:val="22"/>
        </w:rPr>
        <w:t xml:space="preserve"> </w:t>
      </w:r>
      <w:r>
        <w:rPr>
          <w:rFonts w:ascii="Arial" w:hAnsi="Arial" w:cs="Arial"/>
          <w:sz w:val="22"/>
          <w:szCs w:val="22"/>
        </w:rPr>
        <w:t xml:space="preserve">A </w:t>
      </w:r>
      <w:r w:rsidRPr="00AE7078">
        <w:rPr>
          <w:rFonts w:ascii="Arial" w:hAnsi="Arial" w:cs="Arial"/>
          <w:sz w:val="22"/>
          <w:szCs w:val="22"/>
        </w:rPr>
        <w:t xml:space="preserve">discussion paper </w:t>
      </w:r>
      <w:r>
        <w:rPr>
          <w:rFonts w:ascii="Arial" w:hAnsi="Arial" w:cs="Arial"/>
          <w:sz w:val="22"/>
          <w:szCs w:val="22"/>
        </w:rPr>
        <w:t xml:space="preserve">and online survey were released </w:t>
      </w:r>
      <w:r w:rsidRPr="00AE7078">
        <w:rPr>
          <w:rFonts w:ascii="Arial" w:hAnsi="Arial" w:cs="Arial"/>
          <w:sz w:val="22"/>
          <w:szCs w:val="22"/>
        </w:rPr>
        <w:t xml:space="preserve">on the </w:t>
      </w:r>
      <w:r w:rsidRPr="00290EF4">
        <w:rPr>
          <w:rFonts w:ascii="Arial" w:hAnsi="Arial" w:cs="Arial"/>
          <w:i/>
          <w:sz w:val="22"/>
          <w:szCs w:val="22"/>
        </w:rPr>
        <w:t>Dividing Fences Act 1953</w:t>
      </w:r>
      <w:r>
        <w:rPr>
          <w:rFonts w:ascii="Arial" w:hAnsi="Arial" w:cs="Arial"/>
          <w:i/>
          <w:sz w:val="22"/>
          <w:szCs w:val="22"/>
        </w:rPr>
        <w:t>.</w:t>
      </w:r>
      <w:r w:rsidRPr="00AE7078">
        <w:rPr>
          <w:rFonts w:ascii="Arial" w:hAnsi="Arial" w:cs="Arial"/>
          <w:sz w:val="22"/>
          <w:szCs w:val="22"/>
        </w:rPr>
        <w:t xml:space="preserve"> </w:t>
      </w:r>
      <w:r w:rsidRPr="00AE7078">
        <w:rPr>
          <w:rFonts w:ascii="Arial" w:hAnsi="Arial" w:cs="Arial"/>
          <w:i/>
          <w:sz w:val="22"/>
          <w:szCs w:val="22"/>
        </w:rPr>
        <w:t xml:space="preserve"> </w:t>
      </w:r>
      <w:r>
        <w:rPr>
          <w:rFonts w:ascii="Arial" w:hAnsi="Arial" w:cs="Arial"/>
          <w:sz w:val="22"/>
          <w:szCs w:val="22"/>
        </w:rPr>
        <w:t>The overwhelming</w:t>
      </w:r>
      <w:r w:rsidRPr="00AE7078">
        <w:rPr>
          <w:rFonts w:ascii="Arial" w:hAnsi="Arial" w:cs="Arial"/>
          <w:i/>
          <w:sz w:val="22"/>
          <w:szCs w:val="22"/>
        </w:rPr>
        <w:t xml:space="preserve"> </w:t>
      </w:r>
      <w:r>
        <w:rPr>
          <w:rFonts w:ascii="Arial" w:hAnsi="Arial" w:cs="Arial"/>
          <w:sz w:val="22"/>
          <w:szCs w:val="22"/>
        </w:rPr>
        <w:t>community</w:t>
      </w:r>
      <w:r w:rsidR="001E2FE9">
        <w:rPr>
          <w:rFonts w:ascii="Arial" w:hAnsi="Arial" w:cs="Arial"/>
          <w:sz w:val="22"/>
          <w:szCs w:val="22"/>
        </w:rPr>
        <w:t xml:space="preserve"> response was that the current A</w:t>
      </w:r>
      <w:r>
        <w:rPr>
          <w:rFonts w:ascii="Arial" w:hAnsi="Arial" w:cs="Arial"/>
          <w:sz w:val="22"/>
          <w:szCs w:val="22"/>
        </w:rPr>
        <w:t xml:space="preserve">ct needs to be modernised </w:t>
      </w:r>
      <w:r w:rsidRPr="00AE7078">
        <w:rPr>
          <w:rFonts w:ascii="Arial" w:hAnsi="Arial" w:cs="Arial"/>
          <w:sz w:val="22"/>
          <w:szCs w:val="22"/>
        </w:rPr>
        <w:t>in langu</w:t>
      </w:r>
      <w:r>
        <w:rPr>
          <w:rFonts w:ascii="Arial" w:hAnsi="Arial" w:cs="Arial"/>
          <w:sz w:val="22"/>
          <w:szCs w:val="22"/>
        </w:rPr>
        <w:t>age and many sections clarified</w:t>
      </w:r>
      <w:r w:rsidRPr="00AE7078">
        <w:rPr>
          <w:rFonts w:ascii="Arial" w:hAnsi="Arial" w:cs="Arial"/>
          <w:sz w:val="22"/>
          <w:szCs w:val="22"/>
        </w:rPr>
        <w:t xml:space="preserve"> (e.g. po</w:t>
      </w:r>
      <w:r>
        <w:rPr>
          <w:rFonts w:ascii="Arial" w:hAnsi="Arial" w:cs="Arial"/>
          <w:sz w:val="22"/>
          <w:szCs w:val="22"/>
        </w:rPr>
        <w:t xml:space="preserve">ol fences, retaining walls, </w:t>
      </w:r>
      <w:r w:rsidRPr="00AE7078">
        <w:rPr>
          <w:rFonts w:ascii="Arial" w:hAnsi="Arial" w:cs="Arial"/>
          <w:sz w:val="22"/>
          <w:szCs w:val="22"/>
        </w:rPr>
        <w:t>meaning of sufficient fenc</w:t>
      </w:r>
      <w:r>
        <w:rPr>
          <w:rFonts w:ascii="Arial" w:hAnsi="Arial" w:cs="Arial"/>
          <w:sz w:val="22"/>
          <w:szCs w:val="22"/>
        </w:rPr>
        <w:t xml:space="preserve">e, and </w:t>
      </w:r>
      <w:r w:rsidRPr="00AE7078">
        <w:rPr>
          <w:rFonts w:ascii="Arial" w:hAnsi="Arial" w:cs="Arial"/>
          <w:sz w:val="22"/>
          <w:szCs w:val="22"/>
        </w:rPr>
        <w:t>destruction or alteration of a</w:t>
      </w:r>
      <w:r>
        <w:rPr>
          <w:rFonts w:ascii="Arial" w:hAnsi="Arial" w:cs="Arial"/>
          <w:sz w:val="22"/>
          <w:szCs w:val="22"/>
        </w:rPr>
        <w:t xml:space="preserve"> fence by a neighbour</w:t>
      </w:r>
      <w:r w:rsidRPr="00AE7078">
        <w:rPr>
          <w:rFonts w:ascii="Arial" w:hAnsi="Arial" w:cs="Arial"/>
          <w:sz w:val="22"/>
          <w:szCs w:val="22"/>
        </w:rPr>
        <w:t xml:space="preserve">). The </w:t>
      </w:r>
      <w:r w:rsidR="002F3884" w:rsidRPr="002F3884">
        <w:rPr>
          <w:rFonts w:ascii="Arial" w:hAnsi="Arial" w:cs="Arial"/>
          <w:sz w:val="22"/>
          <w:szCs w:val="22"/>
        </w:rPr>
        <w:t xml:space="preserve">Neighbourhood Disputes Resolution Bill 2010 </w:t>
      </w:r>
      <w:r w:rsidRPr="00AE7078">
        <w:rPr>
          <w:rFonts w:ascii="Arial" w:hAnsi="Arial" w:cs="Arial"/>
          <w:sz w:val="22"/>
          <w:szCs w:val="22"/>
        </w:rPr>
        <w:t xml:space="preserve">addresses the great majority of these issues. </w:t>
      </w:r>
    </w:p>
    <w:p w:rsidR="00AF33B7" w:rsidRPr="0070087E" w:rsidRDefault="00AF33B7" w:rsidP="00895BBC">
      <w:pPr>
        <w:pStyle w:val="StyleJustified"/>
        <w:numPr>
          <w:ilvl w:val="0"/>
          <w:numId w:val="0"/>
        </w:numPr>
        <w:spacing w:before="0"/>
        <w:rPr>
          <w:rFonts w:ascii="Arial" w:hAnsi="Arial" w:cs="Arial"/>
          <w:sz w:val="20"/>
        </w:rPr>
      </w:pPr>
    </w:p>
    <w:p w:rsidR="00AF33B7" w:rsidRDefault="00AF33B7" w:rsidP="00895BBC">
      <w:pPr>
        <w:pStyle w:val="StyleJustified"/>
        <w:tabs>
          <w:tab w:val="clear" w:pos="567"/>
          <w:tab w:val="num" w:pos="-567"/>
        </w:tabs>
        <w:spacing w:before="0"/>
        <w:ind w:left="426" w:hanging="426"/>
        <w:rPr>
          <w:rFonts w:ascii="Arial" w:hAnsi="Arial" w:cs="Arial"/>
          <w:sz w:val="22"/>
          <w:szCs w:val="22"/>
        </w:rPr>
      </w:pPr>
      <w:r w:rsidRPr="00AE7078">
        <w:rPr>
          <w:rFonts w:ascii="Arial" w:hAnsi="Arial" w:cs="Arial"/>
          <w:sz w:val="22"/>
          <w:szCs w:val="22"/>
        </w:rPr>
        <w:t>In July 2008</w:t>
      </w:r>
      <w:r>
        <w:rPr>
          <w:rFonts w:ascii="Arial" w:hAnsi="Arial" w:cs="Arial"/>
          <w:sz w:val="22"/>
          <w:szCs w:val="22"/>
        </w:rPr>
        <w:t>,</w:t>
      </w:r>
      <w:r w:rsidRPr="00AE7078">
        <w:rPr>
          <w:rFonts w:ascii="Arial" w:hAnsi="Arial" w:cs="Arial"/>
          <w:sz w:val="22"/>
          <w:szCs w:val="22"/>
        </w:rPr>
        <w:t xml:space="preserve"> two discussion papers were released entitled “Trees” and “Resolving neighbourhood disputes”. Most stakeholders foun</w:t>
      </w:r>
      <w:r>
        <w:rPr>
          <w:rFonts w:ascii="Arial" w:hAnsi="Arial" w:cs="Arial"/>
          <w:sz w:val="22"/>
          <w:szCs w:val="22"/>
        </w:rPr>
        <w:t xml:space="preserve">d the common law to be </w:t>
      </w:r>
      <w:r w:rsidRPr="00AE7078">
        <w:rPr>
          <w:rFonts w:ascii="Arial" w:hAnsi="Arial" w:cs="Arial"/>
          <w:sz w:val="22"/>
          <w:szCs w:val="22"/>
        </w:rPr>
        <w:t xml:space="preserve">inadequate to deal with a </w:t>
      </w:r>
      <w:r>
        <w:rPr>
          <w:rFonts w:ascii="Arial" w:hAnsi="Arial" w:cs="Arial"/>
          <w:sz w:val="22"/>
          <w:szCs w:val="22"/>
        </w:rPr>
        <w:t>nuisance caused by a neighbour’s tree</w:t>
      </w:r>
      <w:r w:rsidRPr="00AE7078">
        <w:rPr>
          <w:rFonts w:ascii="Arial" w:hAnsi="Arial" w:cs="Arial"/>
          <w:sz w:val="22"/>
          <w:szCs w:val="22"/>
        </w:rPr>
        <w:t xml:space="preserve">.  </w:t>
      </w:r>
      <w:r>
        <w:rPr>
          <w:rFonts w:ascii="Arial" w:hAnsi="Arial" w:cs="Arial"/>
          <w:sz w:val="22"/>
          <w:szCs w:val="22"/>
        </w:rPr>
        <w:t xml:space="preserve">The community held </w:t>
      </w:r>
      <w:r w:rsidR="00C84C3B">
        <w:rPr>
          <w:rFonts w:ascii="Arial" w:hAnsi="Arial" w:cs="Arial"/>
          <w:sz w:val="22"/>
          <w:szCs w:val="22"/>
        </w:rPr>
        <w:t>strong views that the tree keeper</w:t>
      </w:r>
      <w:r>
        <w:rPr>
          <w:rFonts w:ascii="Arial" w:hAnsi="Arial" w:cs="Arial"/>
          <w:sz w:val="22"/>
          <w:szCs w:val="22"/>
        </w:rPr>
        <w:t xml:space="preserve"> should be responsible for the proper care and maintenance of a tree.  The Bill reflects this widely held view.  It places responsibility for the care and maintenance of </w:t>
      </w:r>
      <w:r w:rsidR="00C84C3B">
        <w:rPr>
          <w:rFonts w:ascii="Arial" w:hAnsi="Arial" w:cs="Arial"/>
          <w:sz w:val="22"/>
          <w:szCs w:val="22"/>
        </w:rPr>
        <w:t>a tree on a tree keeper</w:t>
      </w:r>
      <w:r>
        <w:rPr>
          <w:rFonts w:ascii="Arial" w:hAnsi="Arial" w:cs="Arial"/>
          <w:sz w:val="22"/>
          <w:szCs w:val="22"/>
        </w:rPr>
        <w:t xml:space="preserve"> and introduces n</w:t>
      </w:r>
      <w:r w:rsidRPr="00CA094F">
        <w:rPr>
          <w:rFonts w:ascii="Arial" w:hAnsi="Arial" w:cs="Arial"/>
          <w:sz w:val="22"/>
          <w:szCs w:val="22"/>
        </w:rPr>
        <w:t>ew remedies for neighbou</w:t>
      </w:r>
      <w:r>
        <w:rPr>
          <w:rFonts w:ascii="Arial" w:hAnsi="Arial" w:cs="Arial"/>
          <w:sz w:val="22"/>
          <w:szCs w:val="22"/>
        </w:rPr>
        <w:t xml:space="preserve">rs in relation to trees.  </w:t>
      </w:r>
    </w:p>
    <w:p w:rsidR="00AF33B7" w:rsidRPr="0070087E" w:rsidRDefault="00AF33B7" w:rsidP="00895BBC">
      <w:pPr>
        <w:pStyle w:val="StyleJustified"/>
        <w:numPr>
          <w:ilvl w:val="0"/>
          <w:numId w:val="0"/>
        </w:numPr>
        <w:tabs>
          <w:tab w:val="left" w:pos="0"/>
        </w:tabs>
        <w:spacing w:before="0"/>
        <w:rPr>
          <w:rFonts w:ascii="Arial" w:hAnsi="Arial" w:cs="Arial"/>
          <w:sz w:val="20"/>
        </w:rPr>
      </w:pPr>
    </w:p>
    <w:p w:rsidR="00AF33B7" w:rsidRDefault="00AF33B7" w:rsidP="00895BBC">
      <w:pPr>
        <w:pStyle w:val="StyleJustified"/>
        <w:tabs>
          <w:tab w:val="clear" w:pos="567"/>
          <w:tab w:val="num" w:pos="-567"/>
        </w:tabs>
        <w:spacing w:before="0"/>
        <w:ind w:left="426" w:hanging="426"/>
        <w:rPr>
          <w:rFonts w:ascii="Arial" w:hAnsi="Arial" w:cs="Arial"/>
          <w:sz w:val="22"/>
          <w:szCs w:val="22"/>
        </w:rPr>
      </w:pPr>
      <w:r>
        <w:rPr>
          <w:rFonts w:ascii="Arial" w:hAnsi="Arial" w:cs="Arial"/>
          <w:sz w:val="22"/>
          <w:szCs w:val="22"/>
        </w:rPr>
        <w:t>The common law right of abatement remains available to neighbours.  However, the Bill alters the common law requirement that the cut branches, roots and fruit encroaching onto the neighbour’s land must be returned to the tree owner.  The Bill provides that a neighbour is no longer compelled to return to the tree owner the branches, roots or fruit which have been cut to the boundary line. This part of the common law of abatement often caused confusion and dispute amongst neighbours and is now addressed in the Bill.</w:t>
      </w:r>
    </w:p>
    <w:p w:rsidR="00AF33B7" w:rsidRPr="0070087E" w:rsidRDefault="00AF33B7" w:rsidP="00895BBC">
      <w:pPr>
        <w:pStyle w:val="StyleJustified"/>
        <w:numPr>
          <w:ilvl w:val="0"/>
          <w:numId w:val="0"/>
        </w:numPr>
        <w:tabs>
          <w:tab w:val="left" w:pos="0"/>
        </w:tabs>
        <w:spacing w:before="0"/>
        <w:rPr>
          <w:rFonts w:ascii="Arial" w:hAnsi="Arial" w:cs="Arial"/>
          <w:sz w:val="20"/>
        </w:rPr>
      </w:pPr>
    </w:p>
    <w:p w:rsidR="00AF33B7" w:rsidRDefault="00AF33B7" w:rsidP="00895BBC">
      <w:pPr>
        <w:pStyle w:val="StyleJustified"/>
        <w:tabs>
          <w:tab w:val="clear" w:pos="567"/>
          <w:tab w:val="num" w:pos="-567"/>
        </w:tabs>
        <w:spacing w:before="0"/>
        <w:ind w:left="426" w:hanging="426"/>
        <w:rPr>
          <w:rFonts w:ascii="Arial" w:hAnsi="Arial" w:cs="Arial"/>
          <w:sz w:val="22"/>
          <w:szCs w:val="22"/>
        </w:rPr>
      </w:pPr>
      <w:r>
        <w:rPr>
          <w:rFonts w:ascii="Arial" w:hAnsi="Arial" w:cs="Arial"/>
          <w:sz w:val="22"/>
          <w:szCs w:val="22"/>
        </w:rPr>
        <w:t>The Bill contains a formal resolution process placi</w:t>
      </w:r>
      <w:r w:rsidR="0075022A">
        <w:rPr>
          <w:rFonts w:ascii="Arial" w:hAnsi="Arial" w:cs="Arial"/>
          <w:sz w:val="22"/>
          <w:szCs w:val="22"/>
        </w:rPr>
        <w:t>ng an obligation on a tree keeper</w:t>
      </w:r>
      <w:r>
        <w:rPr>
          <w:rFonts w:ascii="Arial" w:hAnsi="Arial" w:cs="Arial"/>
          <w:sz w:val="22"/>
          <w:szCs w:val="22"/>
        </w:rPr>
        <w:t xml:space="preserve"> to prune branches overhanging onto his or her neighbour’s land where the neighbou</w:t>
      </w:r>
      <w:r w:rsidR="0075022A">
        <w:rPr>
          <w:rFonts w:ascii="Arial" w:hAnsi="Arial" w:cs="Arial"/>
          <w:sz w:val="22"/>
          <w:szCs w:val="22"/>
        </w:rPr>
        <w:t>r gives notice to the tree keeper. If the tree keeper</w:t>
      </w:r>
      <w:r>
        <w:rPr>
          <w:rFonts w:ascii="Arial" w:hAnsi="Arial" w:cs="Arial"/>
          <w:sz w:val="22"/>
          <w:szCs w:val="22"/>
        </w:rPr>
        <w:t xml:space="preserve"> does not respond to the notice, or cut and remove the overhanging branches within the notice period, the neighbour is able to recover costs </w:t>
      </w:r>
      <w:r w:rsidR="0075022A">
        <w:rPr>
          <w:rFonts w:ascii="Arial" w:hAnsi="Arial" w:cs="Arial"/>
          <w:sz w:val="22"/>
          <w:szCs w:val="22"/>
        </w:rPr>
        <w:t>for pruning the tree as a debt to a maximum of $300.00 per annum</w:t>
      </w:r>
      <w:r w:rsidR="00BE0E71">
        <w:rPr>
          <w:rFonts w:ascii="Arial" w:hAnsi="Arial" w:cs="Arial"/>
          <w:sz w:val="22"/>
          <w:szCs w:val="22"/>
        </w:rPr>
        <w:t xml:space="preserve">.  </w:t>
      </w:r>
      <w:r>
        <w:rPr>
          <w:rFonts w:ascii="Arial" w:hAnsi="Arial" w:cs="Arial"/>
          <w:sz w:val="22"/>
          <w:szCs w:val="22"/>
        </w:rPr>
        <w:t>This section is subject to vegetation protection orders or other similar orders which protect the tree.</w:t>
      </w:r>
    </w:p>
    <w:p w:rsidR="00AF33B7" w:rsidRPr="0070087E" w:rsidRDefault="00AF33B7" w:rsidP="00895BBC">
      <w:pPr>
        <w:pStyle w:val="StyleJustified"/>
        <w:numPr>
          <w:ilvl w:val="0"/>
          <w:numId w:val="0"/>
        </w:numPr>
        <w:tabs>
          <w:tab w:val="left" w:pos="0"/>
        </w:tabs>
        <w:spacing w:before="0"/>
        <w:rPr>
          <w:rFonts w:ascii="Arial" w:hAnsi="Arial" w:cs="Arial"/>
          <w:sz w:val="20"/>
        </w:rPr>
      </w:pPr>
    </w:p>
    <w:p w:rsidR="002F3884" w:rsidRDefault="00AF33B7" w:rsidP="00895BBC">
      <w:pPr>
        <w:pStyle w:val="StyleJustified"/>
        <w:tabs>
          <w:tab w:val="clear" w:pos="567"/>
          <w:tab w:val="num" w:pos="-567"/>
        </w:tabs>
        <w:spacing w:before="0"/>
        <w:ind w:left="426" w:hanging="426"/>
        <w:rPr>
          <w:rFonts w:ascii="Arial" w:hAnsi="Arial" w:cs="Arial"/>
          <w:sz w:val="22"/>
          <w:szCs w:val="22"/>
        </w:rPr>
      </w:pPr>
      <w:r>
        <w:rPr>
          <w:rFonts w:ascii="Arial" w:hAnsi="Arial" w:cs="Arial"/>
          <w:sz w:val="22"/>
          <w:szCs w:val="22"/>
        </w:rPr>
        <w:t xml:space="preserve">The Bill places responsibility on the tree owner for ensuring that the tree does not cause </w:t>
      </w:r>
      <w:r w:rsidR="00C84C3B">
        <w:rPr>
          <w:rFonts w:ascii="Arial" w:hAnsi="Arial" w:cs="Arial"/>
          <w:sz w:val="22"/>
          <w:szCs w:val="22"/>
        </w:rPr>
        <w:t xml:space="preserve">serious </w:t>
      </w:r>
      <w:r>
        <w:rPr>
          <w:rFonts w:ascii="Arial" w:hAnsi="Arial" w:cs="Arial"/>
          <w:sz w:val="22"/>
          <w:szCs w:val="22"/>
        </w:rPr>
        <w:t xml:space="preserve">injury to a person, </w:t>
      </w:r>
      <w:r w:rsidR="00C84C3B">
        <w:rPr>
          <w:rFonts w:ascii="Arial" w:hAnsi="Arial" w:cs="Arial"/>
          <w:sz w:val="22"/>
          <w:szCs w:val="22"/>
        </w:rPr>
        <w:t xml:space="preserve">serious </w:t>
      </w:r>
      <w:r>
        <w:rPr>
          <w:rFonts w:ascii="Arial" w:hAnsi="Arial" w:cs="Arial"/>
          <w:sz w:val="22"/>
          <w:szCs w:val="22"/>
        </w:rPr>
        <w:t>damage to an adjoining landowner’s lan</w:t>
      </w:r>
      <w:r w:rsidR="00FC56BC">
        <w:rPr>
          <w:rFonts w:ascii="Arial" w:hAnsi="Arial" w:cs="Arial"/>
          <w:sz w:val="22"/>
          <w:szCs w:val="22"/>
        </w:rPr>
        <w:t xml:space="preserve">d </w:t>
      </w:r>
      <w:r>
        <w:rPr>
          <w:rFonts w:ascii="Arial" w:hAnsi="Arial" w:cs="Arial"/>
          <w:sz w:val="22"/>
          <w:szCs w:val="22"/>
        </w:rPr>
        <w:t xml:space="preserve">or substantial, ongoing and unreasonable interference with the adjoining landowners enjoyment of their land.  </w:t>
      </w:r>
    </w:p>
    <w:p w:rsidR="002F3884" w:rsidRDefault="002F3884" w:rsidP="00895BBC">
      <w:pPr>
        <w:pStyle w:val="ListParagraph"/>
        <w:rPr>
          <w:rFonts w:ascii="Arial" w:hAnsi="Arial" w:cs="Arial"/>
          <w:sz w:val="22"/>
          <w:szCs w:val="22"/>
        </w:rPr>
      </w:pPr>
    </w:p>
    <w:p w:rsidR="00AF33B7" w:rsidRDefault="00AF33B7" w:rsidP="00895BBC">
      <w:pPr>
        <w:pStyle w:val="StyleJustified"/>
        <w:tabs>
          <w:tab w:val="clear" w:pos="567"/>
          <w:tab w:val="num" w:pos="-567"/>
        </w:tabs>
        <w:spacing w:before="0"/>
        <w:ind w:left="426" w:hanging="426"/>
        <w:rPr>
          <w:rFonts w:ascii="Arial" w:hAnsi="Arial" w:cs="Arial"/>
          <w:sz w:val="22"/>
          <w:szCs w:val="22"/>
        </w:rPr>
      </w:pPr>
      <w:r>
        <w:rPr>
          <w:rFonts w:ascii="Arial" w:hAnsi="Arial" w:cs="Arial"/>
          <w:sz w:val="22"/>
          <w:szCs w:val="22"/>
        </w:rPr>
        <w:t>A new statutory framework gives</w:t>
      </w:r>
      <w:r w:rsidRPr="00CA094F">
        <w:rPr>
          <w:rFonts w:ascii="Arial" w:hAnsi="Arial" w:cs="Arial"/>
          <w:sz w:val="22"/>
          <w:szCs w:val="22"/>
        </w:rPr>
        <w:t xml:space="preserve"> the Queensland Civil and Administrative Tribunal (QCAT) jurisdiction to make orders on the application of a land</w:t>
      </w:r>
      <w:r w:rsidR="00FC56BC">
        <w:rPr>
          <w:rFonts w:ascii="Arial" w:hAnsi="Arial" w:cs="Arial"/>
          <w:sz w:val="22"/>
          <w:szCs w:val="22"/>
        </w:rPr>
        <w:t xml:space="preserve"> </w:t>
      </w:r>
      <w:r w:rsidRPr="00CA094F">
        <w:rPr>
          <w:rFonts w:ascii="Arial" w:hAnsi="Arial" w:cs="Arial"/>
          <w:sz w:val="22"/>
          <w:szCs w:val="22"/>
        </w:rPr>
        <w:t>owner for the removal or pruning of a tree in circumstances where the</w:t>
      </w:r>
      <w:r>
        <w:rPr>
          <w:rFonts w:ascii="Arial" w:hAnsi="Arial" w:cs="Arial"/>
          <w:sz w:val="22"/>
          <w:szCs w:val="22"/>
        </w:rPr>
        <w:t xml:space="preserve"> applicant can demonstrate </w:t>
      </w:r>
      <w:r w:rsidRPr="00CA094F">
        <w:rPr>
          <w:rFonts w:ascii="Arial" w:hAnsi="Arial" w:cs="Arial"/>
          <w:sz w:val="22"/>
          <w:szCs w:val="22"/>
        </w:rPr>
        <w:t xml:space="preserve">the tree </w:t>
      </w:r>
      <w:r>
        <w:rPr>
          <w:rFonts w:ascii="Arial" w:hAnsi="Arial" w:cs="Arial"/>
          <w:sz w:val="22"/>
          <w:szCs w:val="22"/>
        </w:rPr>
        <w:t xml:space="preserve">caused or is likely to cause </w:t>
      </w:r>
      <w:r w:rsidR="00C84C3B">
        <w:rPr>
          <w:rFonts w:ascii="Arial" w:hAnsi="Arial" w:cs="Arial"/>
          <w:sz w:val="22"/>
          <w:szCs w:val="22"/>
        </w:rPr>
        <w:t xml:space="preserve">serious </w:t>
      </w:r>
      <w:r w:rsidR="00FC56BC">
        <w:rPr>
          <w:rFonts w:ascii="Arial" w:hAnsi="Arial" w:cs="Arial"/>
          <w:sz w:val="22"/>
          <w:szCs w:val="22"/>
        </w:rPr>
        <w:t xml:space="preserve">injury, </w:t>
      </w:r>
      <w:r w:rsidR="00C84C3B">
        <w:rPr>
          <w:rFonts w:ascii="Arial" w:hAnsi="Arial" w:cs="Arial"/>
          <w:sz w:val="22"/>
          <w:szCs w:val="22"/>
        </w:rPr>
        <w:t xml:space="preserve">serious </w:t>
      </w:r>
      <w:r>
        <w:rPr>
          <w:rFonts w:ascii="Arial" w:hAnsi="Arial" w:cs="Arial"/>
          <w:sz w:val="22"/>
          <w:szCs w:val="22"/>
        </w:rPr>
        <w:t>damage</w:t>
      </w:r>
      <w:r w:rsidR="00FC56BC">
        <w:rPr>
          <w:rFonts w:ascii="Arial" w:hAnsi="Arial" w:cs="Arial"/>
          <w:sz w:val="22"/>
          <w:szCs w:val="22"/>
        </w:rPr>
        <w:t xml:space="preserve">, or </w:t>
      </w:r>
      <w:r>
        <w:rPr>
          <w:rFonts w:ascii="Arial" w:hAnsi="Arial" w:cs="Arial"/>
          <w:sz w:val="22"/>
          <w:szCs w:val="22"/>
        </w:rPr>
        <w:t>unreasonable interference with the adjoining landowners enjoyment of their land.</w:t>
      </w:r>
    </w:p>
    <w:p w:rsidR="00AF33B7" w:rsidRPr="0070087E" w:rsidRDefault="00AF33B7" w:rsidP="00895BBC">
      <w:pPr>
        <w:pStyle w:val="StyleJustified"/>
        <w:numPr>
          <w:ilvl w:val="0"/>
          <w:numId w:val="0"/>
        </w:numPr>
        <w:tabs>
          <w:tab w:val="left" w:pos="0"/>
        </w:tabs>
        <w:spacing w:before="0"/>
        <w:rPr>
          <w:rFonts w:ascii="Arial" w:hAnsi="Arial" w:cs="Arial"/>
          <w:sz w:val="20"/>
        </w:rPr>
      </w:pPr>
    </w:p>
    <w:p w:rsidR="00AF33B7" w:rsidRDefault="00AF33B7" w:rsidP="00895BBC">
      <w:pPr>
        <w:pStyle w:val="StyleJustified"/>
        <w:tabs>
          <w:tab w:val="clear" w:pos="567"/>
          <w:tab w:val="num" w:pos="-567"/>
        </w:tabs>
        <w:spacing w:before="0"/>
        <w:ind w:left="426" w:hanging="426"/>
        <w:rPr>
          <w:rFonts w:ascii="Arial" w:hAnsi="Arial" w:cs="Arial"/>
          <w:sz w:val="22"/>
          <w:szCs w:val="22"/>
        </w:rPr>
      </w:pPr>
      <w:r w:rsidRPr="00CA094F">
        <w:rPr>
          <w:rFonts w:ascii="Arial" w:hAnsi="Arial" w:cs="Arial"/>
          <w:sz w:val="22"/>
          <w:szCs w:val="22"/>
        </w:rPr>
        <w:t>Before deciding an application, QCAT must consid</w:t>
      </w:r>
      <w:r>
        <w:rPr>
          <w:rFonts w:ascii="Arial" w:hAnsi="Arial" w:cs="Arial"/>
          <w:sz w:val="22"/>
          <w:szCs w:val="22"/>
        </w:rPr>
        <w:t>er certain matters including</w:t>
      </w:r>
      <w:r w:rsidRPr="00CA094F">
        <w:rPr>
          <w:rFonts w:ascii="Arial" w:hAnsi="Arial" w:cs="Arial"/>
          <w:sz w:val="22"/>
          <w:szCs w:val="22"/>
        </w:rPr>
        <w:t xml:space="preserve"> whether the tree has any historical,</w:t>
      </w:r>
      <w:r w:rsidR="00FC56BC">
        <w:rPr>
          <w:rFonts w:ascii="Arial" w:hAnsi="Arial" w:cs="Arial"/>
          <w:sz w:val="22"/>
          <w:szCs w:val="22"/>
        </w:rPr>
        <w:t xml:space="preserve"> cultural, or social value</w:t>
      </w:r>
      <w:r>
        <w:rPr>
          <w:rFonts w:ascii="Arial" w:hAnsi="Arial" w:cs="Arial"/>
          <w:sz w:val="22"/>
          <w:szCs w:val="22"/>
        </w:rPr>
        <w:t xml:space="preserve"> and any </w:t>
      </w:r>
      <w:r w:rsidRPr="00CA094F">
        <w:rPr>
          <w:rFonts w:ascii="Arial" w:hAnsi="Arial" w:cs="Arial"/>
          <w:sz w:val="22"/>
          <w:szCs w:val="22"/>
        </w:rPr>
        <w:t>contribution t</w:t>
      </w:r>
      <w:r>
        <w:rPr>
          <w:rFonts w:ascii="Arial" w:hAnsi="Arial" w:cs="Arial"/>
          <w:sz w:val="22"/>
          <w:szCs w:val="22"/>
        </w:rPr>
        <w:t xml:space="preserve">he tree makes to </w:t>
      </w:r>
      <w:r w:rsidRPr="00CA094F">
        <w:rPr>
          <w:rFonts w:ascii="Arial" w:hAnsi="Arial" w:cs="Arial"/>
          <w:sz w:val="22"/>
          <w:szCs w:val="22"/>
        </w:rPr>
        <w:t>local</w:t>
      </w:r>
      <w:r>
        <w:rPr>
          <w:rFonts w:ascii="Arial" w:hAnsi="Arial" w:cs="Arial"/>
          <w:sz w:val="22"/>
          <w:szCs w:val="22"/>
        </w:rPr>
        <w:t xml:space="preserve"> eco systems and to biodiversity. There is a presumption against removal or destruction of a living tree and any tree that is ordered to be removed may be replaced with another tree.</w:t>
      </w:r>
    </w:p>
    <w:p w:rsidR="00AF33B7" w:rsidRPr="0070087E" w:rsidRDefault="00AF33B7" w:rsidP="00895BBC">
      <w:pPr>
        <w:pStyle w:val="StyleJustified"/>
        <w:numPr>
          <w:ilvl w:val="0"/>
          <w:numId w:val="0"/>
        </w:numPr>
        <w:tabs>
          <w:tab w:val="left" w:pos="0"/>
        </w:tabs>
        <w:spacing w:before="0"/>
        <w:rPr>
          <w:rFonts w:ascii="Arial" w:hAnsi="Arial" w:cs="Arial"/>
          <w:sz w:val="20"/>
        </w:rPr>
      </w:pPr>
    </w:p>
    <w:p w:rsidR="00AF33B7" w:rsidRDefault="00AF33B7" w:rsidP="00895BBC">
      <w:pPr>
        <w:pStyle w:val="StyleJustified"/>
        <w:tabs>
          <w:tab w:val="clear" w:pos="567"/>
          <w:tab w:val="num" w:pos="-567"/>
        </w:tabs>
        <w:spacing w:before="0"/>
        <w:ind w:left="426" w:hanging="426"/>
        <w:rPr>
          <w:rFonts w:ascii="Arial" w:hAnsi="Arial" w:cs="Arial"/>
          <w:sz w:val="22"/>
          <w:szCs w:val="22"/>
        </w:rPr>
      </w:pPr>
      <w:r w:rsidRPr="00F813F6">
        <w:rPr>
          <w:rFonts w:ascii="Arial" w:hAnsi="Arial" w:cs="Arial"/>
          <w:sz w:val="22"/>
          <w:szCs w:val="22"/>
          <w:u w:val="single"/>
        </w:rPr>
        <w:t>Cabinet approved</w:t>
      </w:r>
      <w:r w:rsidRPr="00F813F6">
        <w:rPr>
          <w:rFonts w:ascii="Arial" w:hAnsi="Arial" w:cs="Arial"/>
          <w:sz w:val="22"/>
          <w:szCs w:val="22"/>
        </w:rPr>
        <w:t xml:space="preserve"> </w:t>
      </w:r>
      <w:r w:rsidR="00A4433C">
        <w:rPr>
          <w:rFonts w:ascii="Arial" w:hAnsi="Arial" w:cs="Arial"/>
          <w:sz w:val="22"/>
          <w:szCs w:val="22"/>
        </w:rPr>
        <w:t>the introduction of the Neighbourhood Disputes Resolution Bill 2010 into the Legislative Assembly</w:t>
      </w:r>
      <w:r w:rsidR="00C84C3B">
        <w:rPr>
          <w:rFonts w:ascii="Arial" w:hAnsi="Arial" w:cs="Arial"/>
          <w:sz w:val="22"/>
          <w:szCs w:val="22"/>
        </w:rPr>
        <w:t>.</w:t>
      </w:r>
    </w:p>
    <w:p w:rsidR="00AF33B7" w:rsidRPr="0070087E" w:rsidRDefault="00AF33B7" w:rsidP="00E56ACA">
      <w:pPr>
        <w:pStyle w:val="StyleJustified"/>
        <w:numPr>
          <w:ilvl w:val="0"/>
          <w:numId w:val="0"/>
        </w:numPr>
        <w:tabs>
          <w:tab w:val="left" w:pos="-567"/>
        </w:tabs>
        <w:spacing w:before="0"/>
        <w:rPr>
          <w:rFonts w:ascii="Arial" w:hAnsi="Arial" w:cs="Arial"/>
          <w:sz w:val="20"/>
        </w:rPr>
      </w:pPr>
    </w:p>
    <w:p w:rsidR="00AF33B7" w:rsidRPr="00F813F6" w:rsidRDefault="00AF33B7" w:rsidP="00F037AB">
      <w:pPr>
        <w:pStyle w:val="StyleJustified"/>
        <w:tabs>
          <w:tab w:val="clear" w:pos="567"/>
          <w:tab w:val="num" w:pos="-567"/>
        </w:tabs>
        <w:spacing w:before="120"/>
        <w:ind w:left="425" w:hanging="425"/>
        <w:rPr>
          <w:rFonts w:ascii="Arial" w:hAnsi="Arial" w:cs="Arial"/>
          <w:sz w:val="22"/>
          <w:szCs w:val="22"/>
        </w:rPr>
      </w:pPr>
      <w:r w:rsidRPr="00F813F6">
        <w:rPr>
          <w:rFonts w:ascii="Arial" w:hAnsi="Arial" w:cs="Arial"/>
          <w:sz w:val="22"/>
          <w:szCs w:val="22"/>
          <w:u w:val="single"/>
        </w:rPr>
        <w:t>Attachments</w:t>
      </w:r>
    </w:p>
    <w:p w:rsidR="00AF33B7" w:rsidRPr="00F813F6" w:rsidRDefault="00F51F44" w:rsidP="00E56ACA">
      <w:pPr>
        <w:numPr>
          <w:ilvl w:val="0"/>
          <w:numId w:val="12"/>
        </w:numPr>
        <w:tabs>
          <w:tab w:val="left" w:pos="-142"/>
          <w:tab w:val="left" w:pos="142"/>
        </w:tabs>
        <w:spacing w:before="120"/>
        <w:ind w:left="1077" w:hanging="357"/>
        <w:rPr>
          <w:rFonts w:ascii="Arial" w:hAnsi="Arial" w:cs="Arial"/>
          <w:sz w:val="22"/>
          <w:szCs w:val="22"/>
        </w:rPr>
      </w:pPr>
      <w:hyperlink r:id="rId7" w:history="1">
        <w:r w:rsidR="00AF33B7" w:rsidRPr="00FB2F6B">
          <w:rPr>
            <w:rStyle w:val="Hyperlink"/>
            <w:rFonts w:ascii="Arial" w:hAnsi="Arial" w:cs="Arial"/>
            <w:sz w:val="22"/>
            <w:szCs w:val="22"/>
          </w:rPr>
          <w:t>Neighbourhood Disputes Resolution Bill 2010</w:t>
        </w:r>
      </w:hyperlink>
      <w:r w:rsidR="00AF33B7" w:rsidRPr="00F813F6">
        <w:rPr>
          <w:rFonts w:ascii="Arial" w:hAnsi="Arial" w:cs="Arial"/>
          <w:sz w:val="22"/>
          <w:szCs w:val="22"/>
        </w:rPr>
        <w:t xml:space="preserve"> </w:t>
      </w:r>
    </w:p>
    <w:p w:rsidR="00AF33B7" w:rsidRDefault="00F51F44" w:rsidP="00E56ACA">
      <w:pPr>
        <w:widowControl w:val="0"/>
        <w:numPr>
          <w:ilvl w:val="0"/>
          <w:numId w:val="12"/>
        </w:numPr>
        <w:tabs>
          <w:tab w:val="left" w:pos="-142"/>
          <w:tab w:val="left" w:pos="142"/>
        </w:tabs>
        <w:spacing w:before="120"/>
        <w:ind w:left="1077" w:hanging="357"/>
        <w:rPr>
          <w:rFonts w:ascii="Arial" w:hAnsi="Arial" w:cs="Arial"/>
          <w:sz w:val="22"/>
          <w:szCs w:val="22"/>
        </w:rPr>
      </w:pPr>
      <w:hyperlink r:id="rId8" w:history="1">
        <w:r w:rsidR="00AF33B7" w:rsidRPr="00FB2F6B">
          <w:rPr>
            <w:rStyle w:val="Hyperlink"/>
            <w:rFonts w:ascii="Arial" w:hAnsi="Arial" w:cs="Arial"/>
            <w:sz w:val="22"/>
            <w:szCs w:val="22"/>
          </w:rPr>
          <w:t>Explanatory Notes</w:t>
        </w:r>
      </w:hyperlink>
    </w:p>
    <w:p w:rsidR="00B35EDC" w:rsidRDefault="00F51F44" w:rsidP="00E56ACA">
      <w:pPr>
        <w:widowControl w:val="0"/>
        <w:numPr>
          <w:ilvl w:val="0"/>
          <w:numId w:val="12"/>
        </w:numPr>
        <w:tabs>
          <w:tab w:val="left" w:pos="-142"/>
          <w:tab w:val="left" w:pos="142"/>
        </w:tabs>
        <w:spacing w:before="120"/>
        <w:ind w:left="1077" w:hanging="357"/>
      </w:pPr>
      <w:hyperlink r:id="rId9" w:history="1">
        <w:r w:rsidR="00C84C3B" w:rsidRPr="00FB2F6B">
          <w:rPr>
            <w:rStyle w:val="Hyperlink"/>
            <w:rFonts w:ascii="Arial" w:hAnsi="Arial" w:cs="Arial"/>
            <w:sz w:val="22"/>
            <w:szCs w:val="22"/>
          </w:rPr>
          <w:t>Results of Consultation</w:t>
        </w:r>
      </w:hyperlink>
    </w:p>
    <w:sectPr w:rsidR="00B35EDC" w:rsidSect="002F3884">
      <w:headerReference w:type="default" r:id="rId10"/>
      <w:footerReference w:type="even" r:id="rId11"/>
      <w:footerReference w:type="default" r:id="rId12"/>
      <w:pgSz w:w="11906" w:h="16838"/>
      <w:pgMar w:top="1418" w:right="1134" w:bottom="709" w:left="113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5878" w:rsidRDefault="003E5878">
      <w:r>
        <w:separator/>
      </w:r>
    </w:p>
  </w:endnote>
  <w:endnote w:type="continuationSeparator" w:id="0">
    <w:p w:rsidR="003E5878" w:rsidRDefault="003E5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884" w:rsidRDefault="002F3884" w:rsidP="00C84C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F3884" w:rsidRDefault="002F3884" w:rsidP="00C84C3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884" w:rsidRDefault="002F3884" w:rsidP="00C84C3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5878" w:rsidRDefault="003E5878">
      <w:r>
        <w:separator/>
      </w:r>
    </w:p>
  </w:footnote>
  <w:footnote w:type="continuationSeparator" w:id="0">
    <w:p w:rsidR="003E5878" w:rsidRDefault="003E58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884" w:rsidRDefault="00E42D1D" w:rsidP="00E56ACA">
    <w:pPr>
      <w:pStyle w:val="Header"/>
      <w:rPr>
        <w:rFonts w:ascii="Arial" w:hAnsi="Arial" w:cs="Arial"/>
        <w:b/>
        <w:sz w:val="22"/>
        <w:szCs w:val="22"/>
        <w:u w:val="single"/>
      </w:rPr>
    </w:pPr>
    <w:r>
      <w:rPr>
        <w:rFonts w:ascii="Arial" w:hAnsi="Arial" w:cs="Arial"/>
        <w:b/>
        <w:noProof/>
        <w:sz w:val="22"/>
        <w:szCs w:val="22"/>
        <w:u w:val="single"/>
      </w:rPr>
      <w:drawing>
        <wp:anchor distT="0" distB="0" distL="114300" distR="114300" simplePos="0" relativeHeight="251658240" behindDoc="0" locked="0" layoutInCell="1" allowOverlap="1">
          <wp:simplePos x="0" y="0"/>
          <wp:positionH relativeFrom="column">
            <wp:posOffset>-96520</wp:posOffset>
          </wp:positionH>
          <wp:positionV relativeFrom="paragraph">
            <wp:posOffset>-167005</wp:posOffset>
          </wp:positionV>
          <wp:extent cx="1371600" cy="438150"/>
          <wp:effectExtent l="0" t="0" r="0" b="0"/>
          <wp:wrapNone/>
          <wp:docPr id="6" name="Picture 6"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438150"/>
                  </a:xfrm>
                  <a:prstGeom prst="rect">
                    <a:avLst/>
                  </a:prstGeom>
                  <a:noFill/>
                </pic:spPr>
              </pic:pic>
            </a:graphicData>
          </a:graphic>
          <wp14:sizeRelH relativeFrom="page">
            <wp14:pctWidth>0</wp14:pctWidth>
          </wp14:sizeRelH>
          <wp14:sizeRelV relativeFrom="page">
            <wp14:pctHeight>0</wp14:pctHeight>
          </wp14:sizeRelV>
        </wp:anchor>
      </w:drawing>
    </w:r>
  </w:p>
  <w:p w:rsidR="002F3884" w:rsidRPr="000400F9" w:rsidRDefault="00E42D1D" w:rsidP="00E56ACA">
    <w:pPr>
      <w:pStyle w:val="Header"/>
      <w:ind w:firstLine="2160"/>
      <w:rPr>
        <w:rFonts w:ascii="Arial" w:hAnsi="Arial" w:cs="Arial"/>
        <w:b/>
        <w:sz w:val="22"/>
        <w:szCs w:val="22"/>
        <w:u w:val="single"/>
      </w:rPr>
    </w:pPr>
    <w:r>
      <w:rPr>
        <w:rFonts w:ascii="Arial" w:hAnsi="Arial" w:cs="Arial"/>
        <w:noProof/>
        <w:sz w:val="22"/>
        <w:szCs w:val="22"/>
      </w:rPr>
      <mc:AlternateContent>
        <mc:Choice Requires="wps">
          <w:drawing>
            <wp:anchor distT="0" distB="0" distL="114300" distR="114300" simplePos="0" relativeHeight="251657216" behindDoc="0" locked="0" layoutInCell="1" allowOverlap="1">
              <wp:simplePos x="0" y="0"/>
              <wp:positionH relativeFrom="column">
                <wp:posOffset>5257800</wp:posOffset>
              </wp:positionH>
              <wp:positionV relativeFrom="paragraph">
                <wp:posOffset>-1168400</wp:posOffset>
              </wp:positionV>
              <wp:extent cx="1257300" cy="292100"/>
              <wp:effectExtent l="0" t="3175"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92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3884" w:rsidRPr="00C4265A" w:rsidRDefault="002F3884" w:rsidP="00E56AC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14pt;margin-top:-92pt;width:99pt;height:2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" stroked="f">
              <v:textbox>
                <w:txbxContent>
                  <w:p w:rsidR="002F3884" w:rsidRPr="00C4265A" w:rsidRDefault="002F3884" w:rsidP="00E56ACA"/>
                </w:txbxContent>
              </v:textbox>
            </v:shape>
          </w:pict>
        </mc:Fallback>
      </mc:AlternateContent>
    </w:r>
    <w:r w:rsidR="002F3884">
      <w:rPr>
        <w:rFonts w:ascii="Arial" w:hAnsi="Arial" w:cs="Arial"/>
        <w:b/>
        <w:sz w:val="22"/>
        <w:szCs w:val="22"/>
        <w:u w:val="single"/>
      </w:rPr>
      <w:t>C</w:t>
    </w:r>
    <w:r w:rsidR="002F3884" w:rsidRPr="000400F9">
      <w:rPr>
        <w:rFonts w:ascii="Arial" w:hAnsi="Arial" w:cs="Arial"/>
        <w:b/>
        <w:sz w:val="22"/>
        <w:szCs w:val="22"/>
        <w:u w:val="single"/>
      </w:rPr>
      <w:t xml:space="preserve">abinet – </w:t>
    </w:r>
    <w:r w:rsidR="002F3884">
      <w:rPr>
        <w:rFonts w:ascii="Arial" w:hAnsi="Arial" w:cs="Arial"/>
        <w:b/>
        <w:sz w:val="22"/>
        <w:szCs w:val="22"/>
        <w:u w:val="single"/>
      </w:rPr>
      <w:t>November 2010</w:t>
    </w:r>
  </w:p>
  <w:p w:rsidR="002F3884" w:rsidRDefault="002F3884" w:rsidP="00E56ACA">
    <w:pPr>
      <w:pStyle w:val="Header"/>
      <w:spacing w:before="120"/>
      <w:rPr>
        <w:rFonts w:ascii="Arial" w:hAnsi="Arial" w:cs="Arial"/>
        <w:b/>
        <w:sz w:val="22"/>
        <w:szCs w:val="22"/>
        <w:u w:val="single"/>
      </w:rPr>
    </w:pPr>
    <w:r>
      <w:rPr>
        <w:rFonts w:ascii="Arial" w:hAnsi="Arial" w:cs="Arial"/>
        <w:b/>
        <w:sz w:val="22"/>
        <w:szCs w:val="22"/>
        <w:u w:val="single"/>
      </w:rPr>
      <w:t>Neighbourhood Disputes Resolution Bill 2010</w:t>
    </w:r>
  </w:p>
  <w:p w:rsidR="002F3884" w:rsidRDefault="002F3884" w:rsidP="00E56ACA">
    <w:pPr>
      <w:pStyle w:val="Header"/>
      <w:spacing w:before="120"/>
      <w:rPr>
        <w:rFonts w:ascii="Arial" w:hAnsi="Arial" w:cs="Arial"/>
        <w:b/>
        <w:sz w:val="22"/>
        <w:szCs w:val="22"/>
        <w:u w:val="single"/>
      </w:rPr>
    </w:pPr>
    <w:r>
      <w:rPr>
        <w:rFonts w:ascii="Arial" w:hAnsi="Arial" w:cs="Arial"/>
        <w:b/>
        <w:sz w:val="22"/>
        <w:szCs w:val="22"/>
        <w:u w:val="single"/>
      </w:rPr>
      <w:t>Deputy Premier and Attorney-General, Minister for Local Government and Special Minister of State</w:t>
    </w:r>
  </w:p>
  <w:p w:rsidR="002F3884" w:rsidRPr="0070087E" w:rsidRDefault="002F3884" w:rsidP="00E56ACA">
    <w:pPr>
      <w:pStyle w:val="Header"/>
      <w:pBdr>
        <w:bottom w:val="single" w:sz="8" w:space="1" w:color="auto"/>
      </w:pBdr>
      <w:rPr>
        <w:rFonts w:ascii="Arial" w:hAnsi="Arial" w:cs="Arial"/>
        <w:b/>
        <w:sz w:val="20"/>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C5C4D"/>
    <w:multiLevelType w:val="hybridMultilevel"/>
    <w:tmpl w:val="837A4A2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F72E34"/>
    <w:multiLevelType w:val="multilevel"/>
    <w:tmpl w:val="3744B3E2"/>
    <w:styleLink w:val="cabinet"/>
    <w:lvl w:ilvl="0">
      <w:start w:val="1"/>
      <w:numFmt w:val="decimal"/>
      <w:pStyle w:val="StyleJustified"/>
      <w:lvlText w:val="%1."/>
      <w:lvlJc w:val="left"/>
      <w:pPr>
        <w:tabs>
          <w:tab w:val="num" w:pos="567"/>
        </w:tabs>
        <w:ind w:left="567" w:hanging="567"/>
      </w:pPr>
      <w:rPr>
        <w:rFonts w:hint="default"/>
        <w:spacing w:val="20"/>
        <w:position w:val="0"/>
      </w:rPr>
    </w:lvl>
    <w:lvl w:ilvl="1">
      <w:start w:val="1"/>
      <w:numFmt w:val="lowerLetter"/>
      <w:pStyle w:val="Cabinet2text"/>
      <w:lvlText w:val="(%2)"/>
      <w:lvlJc w:val="left"/>
      <w:pPr>
        <w:tabs>
          <w:tab w:val="num" w:pos="1021"/>
        </w:tabs>
        <w:ind w:left="1021" w:hanging="454"/>
      </w:pPr>
      <w:rPr>
        <w:rFonts w:hint="default"/>
      </w:rPr>
    </w:lvl>
    <w:lvl w:ilvl="2">
      <w:start w:val="1"/>
      <w:numFmt w:val="lowerRoman"/>
      <w:pStyle w:val="Cabinet3text"/>
      <w:lvlText w:val="(%3)"/>
      <w:lvlJc w:val="left"/>
      <w:pPr>
        <w:tabs>
          <w:tab w:val="num" w:pos="1474"/>
        </w:tabs>
        <w:ind w:left="1474" w:hanging="453"/>
      </w:pPr>
      <w:rPr>
        <w:rFonts w:hint="default"/>
      </w:rPr>
    </w:lvl>
    <w:lvl w:ilvl="3">
      <w:start w:val="1"/>
      <w:numFmt w:val="bullet"/>
      <w:pStyle w:val="Cabinet4text"/>
      <w:lvlText w:val=""/>
      <w:lvlJc w:val="left"/>
      <w:pPr>
        <w:tabs>
          <w:tab w:val="num" w:pos="1928"/>
        </w:tabs>
        <w:ind w:left="1928" w:hanging="454"/>
      </w:pPr>
      <w:rPr>
        <w:rFonts w:ascii="Symbol" w:hAnsi="Symbol" w:hint="default"/>
      </w:rPr>
    </w:lvl>
    <w:lvl w:ilvl="4">
      <w:start w:val="1"/>
      <w:numFmt w:val="bullet"/>
      <w:pStyle w:val="cabinet5text"/>
      <w:lvlText w:val="-"/>
      <w:lvlJc w:val="left"/>
      <w:pPr>
        <w:tabs>
          <w:tab w:val="num" w:pos="2381"/>
        </w:tabs>
        <w:ind w:left="2381" w:hanging="453"/>
      </w:pPr>
      <w:rPr>
        <w:rFonts w:ascii="Times New Roman" w:hAnsi="Times New Roman" w:cs="Times New Roman" w:hint="default"/>
      </w:rPr>
    </w:lvl>
    <w:lvl w:ilvl="5">
      <w:start w:val="1"/>
      <w:numFmt w:val="bullet"/>
      <w:lvlText w:val="-"/>
      <w:lvlJc w:val="left"/>
      <w:pPr>
        <w:tabs>
          <w:tab w:val="num" w:pos="2381"/>
        </w:tabs>
        <w:ind w:left="2381" w:hanging="453"/>
      </w:pPr>
      <w:rPr>
        <w:rFonts w:ascii="Times New Roman" w:hAnsi="Times New Roman" w:cs="Times New Roman" w:hint="default"/>
      </w:rPr>
    </w:lvl>
    <w:lvl w:ilvl="6">
      <w:start w:val="1"/>
      <w:numFmt w:val="bullet"/>
      <w:lvlText w:val="-"/>
      <w:lvlJc w:val="left"/>
      <w:pPr>
        <w:tabs>
          <w:tab w:val="num" w:pos="2381"/>
        </w:tabs>
        <w:ind w:left="2381" w:hanging="453"/>
      </w:pPr>
      <w:rPr>
        <w:rFonts w:ascii="Times New Roman" w:hAnsi="Times New Roman" w:cs="Times New Roman" w:hint="default"/>
      </w:rPr>
    </w:lvl>
    <w:lvl w:ilvl="7">
      <w:start w:val="1"/>
      <w:numFmt w:val="bullet"/>
      <w:lvlText w:val="-"/>
      <w:lvlJc w:val="left"/>
      <w:pPr>
        <w:tabs>
          <w:tab w:val="num" w:pos="2381"/>
        </w:tabs>
        <w:ind w:left="2381" w:hanging="453"/>
      </w:pPr>
      <w:rPr>
        <w:rFonts w:ascii="Times New Roman" w:hAnsi="Times New Roman" w:cs="Times New Roman" w:hint="default"/>
      </w:rPr>
    </w:lvl>
    <w:lvl w:ilvl="8">
      <w:start w:val="1"/>
      <w:numFmt w:val="bullet"/>
      <w:lvlText w:val="-"/>
      <w:lvlJc w:val="left"/>
      <w:pPr>
        <w:tabs>
          <w:tab w:val="num" w:pos="2381"/>
        </w:tabs>
        <w:ind w:left="2381" w:hanging="453"/>
      </w:pPr>
      <w:rPr>
        <w:rFonts w:ascii="Times New Roman" w:hAnsi="Times New Roman" w:cs="Times New Roman" w:hint="default"/>
      </w:rPr>
    </w:lvl>
  </w:abstractNum>
  <w:abstractNum w:abstractNumId="2" w15:restartNumberingAfterBreak="0">
    <w:nsid w:val="40CF794C"/>
    <w:multiLevelType w:val="hybridMultilevel"/>
    <w:tmpl w:val="70AAB1A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6C8D36B9"/>
    <w:multiLevelType w:val="hybridMultilevel"/>
    <w:tmpl w:val="BBF06002"/>
    <w:lvl w:ilvl="0" w:tplc="B7A0238C">
      <w:start w:val="1"/>
      <w:numFmt w:val="bullet"/>
      <w:lvlText w:val=""/>
      <w:lvlJc w:val="left"/>
      <w:pPr>
        <w:tabs>
          <w:tab w:val="num" w:pos="811"/>
        </w:tabs>
        <w:ind w:left="811" w:hanging="454"/>
      </w:pPr>
      <w:rPr>
        <w:rFonts w:ascii="Symbol" w:hAnsi="Symbol" w:hint="default"/>
        <w:color w:val="auto"/>
        <w:sz w:val="23"/>
      </w:rPr>
    </w:lvl>
    <w:lvl w:ilvl="1" w:tplc="0C090003" w:tentative="1">
      <w:start w:val="1"/>
      <w:numFmt w:val="bullet"/>
      <w:lvlText w:val="o"/>
      <w:lvlJc w:val="left"/>
      <w:pPr>
        <w:tabs>
          <w:tab w:val="num" w:pos="1797"/>
        </w:tabs>
        <w:ind w:left="1797" w:hanging="360"/>
      </w:pPr>
      <w:rPr>
        <w:rFonts w:ascii="Courier New" w:hAnsi="Courier New" w:cs="Courier New" w:hint="default"/>
      </w:rPr>
    </w:lvl>
    <w:lvl w:ilvl="2" w:tplc="0C090005" w:tentative="1">
      <w:start w:val="1"/>
      <w:numFmt w:val="bullet"/>
      <w:lvlText w:val=""/>
      <w:lvlJc w:val="left"/>
      <w:pPr>
        <w:tabs>
          <w:tab w:val="num" w:pos="2517"/>
        </w:tabs>
        <w:ind w:left="2517" w:hanging="360"/>
      </w:pPr>
      <w:rPr>
        <w:rFonts w:ascii="Wingdings" w:hAnsi="Wingdings" w:hint="default"/>
      </w:rPr>
    </w:lvl>
    <w:lvl w:ilvl="3" w:tplc="0C090001" w:tentative="1">
      <w:start w:val="1"/>
      <w:numFmt w:val="bullet"/>
      <w:lvlText w:val=""/>
      <w:lvlJc w:val="left"/>
      <w:pPr>
        <w:tabs>
          <w:tab w:val="num" w:pos="3237"/>
        </w:tabs>
        <w:ind w:left="3237" w:hanging="360"/>
      </w:pPr>
      <w:rPr>
        <w:rFonts w:ascii="Symbol" w:hAnsi="Symbol" w:hint="default"/>
      </w:rPr>
    </w:lvl>
    <w:lvl w:ilvl="4" w:tplc="0C090003" w:tentative="1">
      <w:start w:val="1"/>
      <w:numFmt w:val="bullet"/>
      <w:lvlText w:val="o"/>
      <w:lvlJc w:val="left"/>
      <w:pPr>
        <w:tabs>
          <w:tab w:val="num" w:pos="3957"/>
        </w:tabs>
        <w:ind w:left="3957" w:hanging="360"/>
      </w:pPr>
      <w:rPr>
        <w:rFonts w:ascii="Courier New" w:hAnsi="Courier New" w:cs="Courier New" w:hint="default"/>
      </w:rPr>
    </w:lvl>
    <w:lvl w:ilvl="5" w:tplc="0C090005" w:tentative="1">
      <w:start w:val="1"/>
      <w:numFmt w:val="bullet"/>
      <w:lvlText w:val=""/>
      <w:lvlJc w:val="left"/>
      <w:pPr>
        <w:tabs>
          <w:tab w:val="num" w:pos="4677"/>
        </w:tabs>
        <w:ind w:left="4677" w:hanging="360"/>
      </w:pPr>
      <w:rPr>
        <w:rFonts w:ascii="Wingdings" w:hAnsi="Wingdings" w:hint="default"/>
      </w:rPr>
    </w:lvl>
    <w:lvl w:ilvl="6" w:tplc="0C090001" w:tentative="1">
      <w:start w:val="1"/>
      <w:numFmt w:val="bullet"/>
      <w:lvlText w:val=""/>
      <w:lvlJc w:val="left"/>
      <w:pPr>
        <w:tabs>
          <w:tab w:val="num" w:pos="5397"/>
        </w:tabs>
        <w:ind w:left="5397" w:hanging="360"/>
      </w:pPr>
      <w:rPr>
        <w:rFonts w:ascii="Symbol" w:hAnsi="Symbol" w:hint="default"/>
      </w:rPr>
    </w:lvl>
    <w:lvl w:ilvl="7" w:tplc="0C090003" w:tentative="1">
      <w:start w:val="1"/>
      <w:numFmt w:val="bullet"/>
      <w:lvlText w:val="o"/>
      <w:lvlJc w:val="left"/>
      <w:pPr>
        <w:tabs>
          <w:tab w:val="num" w:pos="6117"/>
        </w:tabs>
        <w:ind w:left="6117" w:hanging="360"/>
      </w:pPr>
      <w:rPr>
        <w:rFonts w:ascii="Courier New" w:hAnsi="Courier New" w:cs="Courier New" w:hint="default"/>
      </w:rPr>
    </w:lvl>
    <w:lvl w:ilvl="8" w:tplc="0C090005" w:tentative="1">
      <w:start w:val="1"/>
      <w:numFmt w:val="bullet"/>
      <w:lvlText w:val=""/>
      <w:lvlJc w:val="left"/>
      <w:pPr>
        <w:tabs>
          <w:tab w:val="num" w:pos="6837"/>
        </w:tabs>
        <w:ind w:left="6837" w:hanging="360"/>
      </w:pPr>
      <w:rPr>
        <w:rFonts w:ascii="Wingdings" w:hAnsi="Wingdings" w:hint="default"/>
      </w:rPr>
    </w:lvl>
  </w:abstractNum>
  <w:abstractNum w:abstractNumId="4" w15:restartNumberingAfterBreak="0">
    <w:nsid w:val="7F176F87"/>
    <w:multiLevelType w:val="hybridMultilevel"/>
    <w:tmpl w:val="8B10509A"/>
    <w:lvl w:ilvl="0" w:tplc="B69CF730">
      <w:start w:val="1"/>
      <w:numFmt w:val="decimal"/>
      <w:lvlText w:val="%1."/>
      <w:lvlJc w:val="left"/>
      <w:pPr>
        <w:tabs>
          <w:tab w:val="num" w:pos="720"/>
        </w:tabs>
        <w:ind w:left="720" w:hanging="360"/>
      </w:pPr>
      <w:rPr>
        <w:b w:val="0"/>
        <w:i w:val="0"/>
      </w:rPr>
    </w:lvl>
    <w:lvl w:ilvl="1" w:tplc="8F02EAEE">
      <w:start w:val="1"/>
      <w:numFmt w:val="decimal"/>
      <w:lvlText w:val="%2."/>
      <w:lvlJc w:val="left"/>
      <w:pPr>
        <w:tabs>
          <w:tab w:val="num" w:pos="1443"/>
        </w:tabs>
        <w:ind w:left="1443" w:hanging="363"/>
      </w:pPr>
      <w:rPr>
        <w:rFonts w:hint="default"/>
      </w:r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
    <w:lvlOverride w:ilvl="0">
      <w:lvl w:ilvl="0">
        <w:start w:val="1"/>
        <w:numFmt w:val="decimal"/>
        <w:pStyle w:val="StyleJustified"/>
        <w:lvlText w:val="%1."/>
        <w:lvlJc w:val="left"/>
        <w:pPr>
          <w:tabs>
            <w:tab w:val="num" w:pos="567"/>
          </w:tabs>
          <w:ind w:left="567" w:hanging="567"/>
        </w:pPr>
        <w:rPr>
          <w:rFonts w:hint="default"/>
          <w:b w:val="0"/>
          <w:spacing w:val="20"/>
          <w:position w:val="0"/>
        </w:rPr>
      </w:lvl>
    </w:lvlOverride>
  </w:num>
  <w:num w:numId="2">
    <w:abstractNumId w:val="3"/>
  </w:num>
  <w:num w:numId="3">
    <w:abstractNumId w:val="0"/>
  </w:num>
  <w:num w:numId="4">
    <w:abstractNumId w:val="4"/>
  </w:num>
  <w:num w:numId="5">
    <w:abstractNumId w:val="1"/>
    <w:lvlOverride w:ilvl="0">
      <w:lvl w:ilvl="0">
        <w:start w:val="1"/>
        <w:numFmt w:val="decimal"/>
        <w:pStyle w:val="StyleJustified"/>
        <w:lvlText w:val="%1."/>
        <w:lvlJc w:val="left"/>
        <w:pPr>
          <w:tabs>
            <w:tab w:val="num" w:pos="567"/>
          </w:tabs>
          <w:ind w:left="567" w:hanging="567"/>
        </w:pPr>
        <w:rPr>
          <w:rFonts w:hint="default"/>
          <w:b w:val="0"/>
          <w:spacing w:val="20"/>
          <w:position w:val="0"/>
        </w:rPr>
      </w:lvl>
    </w:lvlOverride>
  </w:num>
  <w:num w:numId="6">
    <w:abstractNumId w:val="1"/>
    <w:lvlOverride w:ilvl="0">
      <w:lvl w:ilvl="0">
        <w:start w:val="1"/>
        <w:numFmt w:val="decimal"/>
        <w:pStyle w:val="StyleJustified"/>
        <w:lvlText w:val="%1."/>
        <w:lvlJc w:val="left"/>
        <w:pPr>
          <w:tabs>
            <w:tab w:val="num" w:pos="567"/>
          </w:tabs>
          <w:ind w:left="567" w:hanging="567"/>
        </w:pPr>
        <w:rPr>
          <w:rFonts w:hint="default"/>
          <w:b w:val="0"/>
          <w:spacing w:val="20"/>
          <w:position w:val="0"/>
        </w:rPr>
      </w:lvl>
    </w:lvlOverride>
  </w:num>
  <w:num w:numId="7">
    <w:abstractNumId w:val="1"/>
    <w:lvlOverride w:ilvl="0">
      <w:lvl w:ilvl="0">
        <w:start w:val="1"/>
        <w:numFmt w:val="decimal"/>
        <w:pStyle w:val="StyleJustified"/>
        <w:lvlText w:val="%1."/>
        <w:lvlJc w:val="left"/>
        <w:pPr>
          <w:tabs>
            <w:tab w:val="num" w:pos="567"/>
          </w:tabs>
          <w:ind w:left="567" w:hanging="567"/>
        </w:pPr>
        <w:rPr>
          <w:rFonts w:hint="default"/>
          <w:b w:val="0"/>
          <w:spacing w:val="20"/>
          <w:position w:val="0"/>
        </w:rPr>
      </w:lvl>
    </w:lvlOverride>
  </w:num>
  <w:num w:numId="8">
    <w:abstractNumId w:val="1"/>
    <w:lvlOverride w:ilvl="0">
      <w:lvl w:ilvl="0">
        <w:start w:val="1"/>
        <w:numFmt w:val="decimal"/>
        <w:pStyle w:val="StyleJustified"/>
        <w:lvlText w:val="%1."/>
        <w:lvlJc w:val="left"/>
        <w:pPr>
          <w:tabs>
            <w:tab w:val="num" w:pos="567"/>
          </w:tabs>
          <w:ind w:left="567" w:hanging="567"/>
        </w:pPr>
        <w:rPr>
          <w:rFonts w:hint="default"/>
          <w:b w:val="0"/>
          <w:spacing w:val="20"/>
          <w:position w:val="0"/>
        </w:rPr>
      </w:lvl>
    </w:lvlOverride>
  </w:num>
  <w:num w:numId="9">
    <w:abstractNumId w:val="1"/>
    <w:lvlOverride w:ilvl="0">
      <w:lvl w:ilvl="0">
        <w:start w:val="1"/>
        <w:numFmt w:val="decimal"/>
        <w:pStyle w:val="StyleJustified"/>
        <w:lvlText w:val="%1."/>
        <w:lvlJc w:val="left"/>
        <w:pPr>
          <w:tabs>
            <w:tab w:val="num" w:pos="567"/>
          </w:tabs>
          <w:ind w:left="567" w:hanging="567"/>
        </w:pPr>
        <w:rPr>
          <w:rFonts w:hint="default"/>
          <w:b w:val="0"/>
          <w:spacing w:val="20"/>
          <w:position w:val="0"/>
        </w:rPr>
      </w:lvl>
    </w:lvlOverride>
  </w:num>
  <w:num w:numId="10">
    <w:abstractNumId w:val="1"/>
    <w:lvlOverride w:ilvl="0">
      <w:lvl w:ilvl="0">
        <w:start w:val="1"/>
        <w:numFmt w:val="decimal"/>
        <w:pStyle w:val="StyleJustified"/>
        <w:lvlText w:val="%1."/>
        <w:lvlJc w:val="left"/>
        <w:pPr>
          <w:tabs>
            <w:tab w:val="num" w:pos="567"/>
          </w:tabs>
          <w:ind w:left="567" w:hanging="567"/>
        </w:pPr>
        <w:rPr>
          <w:rFonts w:hint="default"/>
          <w:b w:val="0"/>
          <w:spacing w:val="20"/>
          <w:position w:val="0"/>
        </w:rPr>
      </w:lvl>
    </w:lvlOverride>
  </w:num>
  <w:num w:numId="11">
    <w:abstractNumId w:val="1"/>
    <w:lvlOverride w:ilvl="0">
      <w:lvl w:ilvl="0">
        <w:start w:val="1"/>
        <w:numFmt w:val="decimal"/>
        <w:pStyle w:val="StyleJustified"/>
        <w:lvlText w:val="%1."/>
        <w:lvlJc w:val="left"/>
        <w:pPr>
          <w:tabs>
            <w:tab w:val="num" w:pos="567"/>
          </w:tabs>
          <w:ind w:left="567" w:hanging="567"/>
        </w:pPr>
        <w:rPr>
          <w:rFonts w:hint="default"/>
          <w:b w:val="0"/>
          <w:spacing w:val="20"/>
          <w:position w:val="0"/>
        </w:rPr>
      </w:lvl>
    </w:lvlOverride>
  </w:num>
  <w:num w:numId="12">
    <w:abstractNumId w:val="2"/>
  </w:num>
  <w:num w:numId="13">
    <w:abstractNumId w:val="1"/>
    <w:lvlOverride w:ilvl="0">
      <w:lvl w:ilvl="0">
        <w:start w:val="1"/>
        <w:numFmt w:val="decimal"/>
        <w:pStyle w:val="StyleJustified"/>
        <w:lvlText w:val="%1."/>
        <w:lvlJc w:val="left"/>
        <w:pPr>
          <w:tabs>
            <w:tab w:val="num" w:pos="567"/>
          </w:tabs>
          <w:ind w:left="567" w:hanging="567"/>
        </w:pPr>
        <w:rPr>
          <w:rFonts w:hint="default"/>
          <w:b w:val="0"/>
          <w:spacing w:val="20"/>
          <w:position w:val="0"/>
        </w:rPr>
      </w:lvl>
    </w:lvlOverride>
  </w:num>
  <w:num w:numId="14">
    <w:abstractNumId w:val="1"/>
    <w:lvlOverride w:ilvl="0">
      <w:lvl w:ilvl="0">
        <w:start w:val="1"/>
        <w:numFmt w:val="decimal"/>
        <w:pStyle w:val="StyleJustified"/>
        <w:lvlText w:val="%1."/>
        <w:lvlJc w:val="left"/>
        <w:pPr>
          <w:tabs>
            <w:tab w:val="num" w:pos="567"/>
          </w:tabs>
          <w:ind w:left="567" w:hanging="567"/>
        </w:pPr>
        <w:rPr>
          <w:rFonts w:hint="default"/>
          <w:b w:val="0"/>
          <w:spacing w:val="20"/>
          <w:position w:val="0"/>
        </w:rPr>
      </w:lvl>
    </w:lvlOverride>
  </w:num>
  <w:num w:numId="15">
    <w:abstractNumId w:val="1"/>
    <w:lvlOverride w:ilvl="0">
      <w:lvl w:ilvl="0">
        <w:start w:val="1"/>
        <w:numFmt w:val="decimal"/>
        <w:pStyle w:val="StyleJustified"/>
        <w:lvlText w:val="%1."/>
        <w:lvlJc w:val="left"/>
        <w:pPr>
          <w:tabs>
            <w:tab w:val="num" w:pos="567"/>
          </w:tabs>
          <w:ind w:left="567" w:hanging="567"/>
        </w:pPr>
        <w:rPr>
          <w:rFonts w:hint="default"/>
          <w:b w:val="0"/>
          <w:spacing w:val="20"/>
          <w:position w:val="0"/>
        </w:rPr>
      </w:lvl>
    </w:lvlOverride>
  </w:num>
  <w:num w:numId="16">
    <w:abstractNumId w:val="1"/>
    <w:lvlOverride w:ilvl="0">
      <w:lvl w:ilvl="0">
        <w:start w:val="1"/>
        <w:numFmt w:val="decimal"/>
        <w:pStyle w:val="StyleJustified"/>
        <w:lvlText w:val="%1."/>
        <w:lvlJc w:val="left"/>
        <w:pPr>
          <w:tabs>
            <w:tab w:val="num" w:pos="567"/>
          </w:tabs>
          <w:ind w:left="567" w:hanging="567"/>
        </w:pPr>
        <w:rPr>
          <w:rFonts w:hint="default"/>
          <w:b w:val="0"/>
          <w:spacing w:val="20"/>
          <w:position w:val="0"/>
        </w:rPr>
      </w:lvl>
    </w:lvlOverride>
  </w:num>
  <w:num w:numId="17">
    <w:abstractNumId w:val="1"/>
    <w:lvlOverride w:ilvl="0">
      <w:lvl w:ilvl="0">
        <w:start w:val="1"/>
        <w:numFmt w:val="decimal"/>
        <w:pStyle w:val="StyleJustified"/>
        <w:lvlText w:val="%1."/>
        <w:lvlJc w:val="left"/>
        <w:pPr>
          <w:tabs>
            <w:tab w:val="num" w:pos="567"/>
          </w:tabs>
          <w:ind w:left="567" w:hanging="567"/>
        </w:pPr>
        <w:rPr>
          <w:rFonts w:hint="default"/>
          <w:b w:val="0"/>
          <w:spacing w:val="20"/>
          <w:position w:val="0"/>
        </w:rPr>
      </w:lvl>
    </w:lvlOverride>
  </w:num>
  <w:num w:numId="18">
    <w:abstractNumId w:val="1"/>
    <w:lvlOverride w:ilvl="0">
      <w:lvl w:ilvl="0">
        <w:start w:val="1"/>
        <w:numFmt w:val="decimal"/>
        <w:pStyle w:val="StyleJustified"/>
        <w:lvlText w:val="%1."/>
        <w:lvlJc w:val="left"/>
        <w:pPr>
          <w:tabs>
            <w:tab w:val="num" w:pos="567"/>
          </w:tabs>
          <w:ind w:left="567" w:hanging="567"/>
        </w:pPr>
        <w:rPr>
          <w:rFonts w:hint="default"/>
          <w:b w:val="0"/>
          <w:spacing w:val="20"/>
          <w:position w:val="0"/>
        </w:rPr>
      </w:lvl>
    </w:lvlOverride>
  </w:num>
  <w:num w:numId="19">
    <w:abstractNumId w:val="1"/>
    <w:lvlOverride w:ilvl="0">
      <w:lvl w:ilvl="0">
        <w:start w:val="1"/>
        <w:numFmt w:val="decimal"/>
        <w:pStyle w:val="StyleJustified"/>
        <w:lvlText w:val="%1."/>
        <w:lvlJc w:val="left"/>
        <w:pPr>
          <w:tabs>
            <w:tab w:val="num" w:pos="567"/>
          </w:tabs>
          <w:ind w:left="567" w:hanging="567"/>
        </w:pPr>
        <w:rPr>
          <w:rFonts w:hint="default"/>
          <w:b w:val="0"/>
          <w:spacing w:val="20"/>
          <w:position w:val="0"/>
        </w:rPr>
      </w:lvl>
    </w:lvlOverride>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3B7"/>
    <w:rsid w:val="0002085A"/>
    <w:rsid w:val="00023B53"/>
    <w:rsid w:val="000F2E40"/>
    <w:rsid w:val="001A006C"/>
    <w:rsid w:val="001D520A"/>
    <w:rsid w:val="001E2FE9"/>
    <w:rsid w:val="002442FB"/>
    <w:rsid w:val="00254D0A"/>
    <w:rsid w:val="002F3884"/>
    <w:rsid w:val="00363A3A"/>
    <w:rsid w:val="00382C54"/>
    <w:rsid w:val="003E5878"/>
    <w:rsid w:val="00430FC7"/>
    <w:rsid w:val="004E35BD"/>
    <w:rsid w:val="00544071"/>
    <w:rsid w:val="005728E9"/>
    <w:rsid w:val="006D08AC"/>
    <w:rsid w:val="0070087E"/>
    <w:rsid w:val="0075022A"/>
    <w:rsid w:val="008737BD"/>
    <w:rsid w:val="00887CFA"/>
    <w:rsid w:val="00895BBC"/>
    <w:rsid w:val="00A03084"/>
    <w:rsid w:val="00A4433C"/>
    <w:rsid w:val="00A56960"/>
    <w:rsid w:val="00AF33B7"/>
    <w:rsid w:val="00B35EDC"/>
    <w:rsid w:val="00B46586"/>
    <w:rsid w:val="00B600F4"/>
    <w:rsid w:val="00BE0E71"/>
    <w:rsid w:val="00C66251"/>
    <w:rsid w:val="00C84C3B"/>
    <w:rsid w:val="00CF0EE1"/>
    <w:rsid w:val="00D746BD"/>
    <w:rsid w:val="00D775D2"/>
    <w:rsid w:val="00DD6EED"/>
    <w:rsid w:val="00E12A1A"/>
    <w:rsid w:val="00E42D1D"/>
    <w:rsid w:val="00E56ACA"/>
    <w:rsid w:val="00ED745D"/>
    <w:rsid w:val="00F037AB"/>
    <w:rsid w:val="00F33A78"/>
    <w:rsid w:val="00F51F44"/>
    <w:rsid w:val="00F73FA7"/>
    <w:rsid w:val="00FB2F6B"/>
    <w:rsid w:val="00FC56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3B7"/>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cabinet">
    <w:name w:val="cabinet"/>
    <w:rsid w:val="00AF33B7"/>
    <w:pPr>
      <w:numPr>
        <w:numId w:val="20"/>
      </w:numPr>
    </w:pPr>
  </w:style>
  <w:style w:type="paragraph" w:customStyle="1" w:styleId="StyleJustified">
    <w:name w:val="Style Justified"/>
    <w:basedOn w:val="Normal"/>
    <w:rsid w:val="00AF33B7"/>
    <w:pPr>
      <w:numPr>
        <w:numId w:val="1"/>
      </w:numPr>
      <w:spacing w:before="240"/>
      <w:jc w:val="both"/>
    </w:pPr>
  </w:style>
  <w:style w:type="paragraph" w:styleId="Header">
    <w:name w:val="header"/>
    <w:basedOn w:val="Normal"/>
    <w:rsid w:val="00AF33B7"/>
    <w:pPr>
      <w:tabs>
        <w:tab w:val="center" w:pos="4153"/>
        <w:tab w:val="right" w:pos="8306"/>
      </w:tabs>
    </w:pPr>
  </w:style>
  <w:style w:type="paragraph" w:customStyle="1" w:styleId="Cabinet2text">
    <w:name w:val="Cabinet 2 text"/>
    <w:basedOn w:val="Normal"/>
    <w:rsid w:val="00AF33B7"/>
    <w:pPr>
      <w:numPr>
        <w:ilvl w:val="1"/>
        <w:numId w:val="1"/>
      </w:numPr>
      <w:spacing w:before="120"/>
      <w:jc w:val="both"/>
    </w:pPr>
  </w:style>
  <w:style w:type="paragraph" w:customStyle="1" w:styleId="Cabinet3text">
    <w:name w:val="Cabinet 3 text"/>
    <w:basedOn w:val="Cabinet2text"/>
    <w:rsid w:val="00AF33B7"/>
    <w:pPr>
      <w:numPr>
        <w:ilvl w:val="2"/>
      </w:numPr>
    </w:pPr>
  </w:style>
  <w:style w:type="paragraph" w:customStyle="1" w:styleId="Cabinet4text">
    <w:name w:val="Cabinet 4 text"/>
    <w:basedOn w:val="Cabinet2text"/>
    <w:rsid w:val="00AF33B7"/>
    <w:pPr>
      <w:numPr>
        <w:ilvl w:val="3"/>
      </w:numPr>
    </w:pPr>
  </w:style>
  <w:style w:type="paragraph" w:customStyle="1" w:styleId="cabinet5text">
    <w:name w:val="cabinet 5 text"/>
    <w:basedOn w:val="Cabinet2text"/>
    <w:rsid w:val="00AF33B7"/>
    <w:pPr>
      <w:numPr>
        <w:ilvl w:val="4"/>
      </w:numPr>
    </w:pPr>
  </w:style>
  <w:style w:type="paragraph" w:styleId="Footer">
    <w:name w:val="footer"/>
    <w:basedOn w:val="Normal"/>
    <w:rsid w:val="00C84C3B"/>
    <w:pPr>
      <w:tabs>
        <w:tab w:val="center" w:pos="4153"/>
        <w:tab w:val="right" w:pos="8306"/>
      </w:tabs>
    </w:pPr>
  </w:style>
  <w:style w:type="character" w:styleId="PageNumber">
    <w:name w:val="page number"/>
    <w:basedOn w:val="DefaultParagraphFont"/>
    <w:rsid w:val="00C84C3B"/>
  </w:style>
  <w:style w:type="paragraph" w:styleId="BalloonText">
    <w:name w:val="Balloon Text"/>
    <w:basedOn w:val="Normal"/>
    <w:semiHidden/>
    <w:rsid w:val="0070087E"/>
    <w:rPr>
      <w:rFonts w:ascii="Tahoma" w:hAnsi="Tahoma" w:cs="Tahoma"/>
      <w:sz w:val="16"/>
      <w:szCs w:val="16"/>
    </w:rPr>
  </w:style>
  <w:style w:type="paragraph" w:styleId="ListParagraph">
    <w:name w:val="List Paragraph"/>
    <w:basedOn w:val="Normal"/>
    <w:uiPriority w:val="34"/>
    <w:qFormat/>
    <w:rsid w:val="002F3884"/>
    <w:pPr>
      <w:ind w:left="720"/>
    </w:pPr>
  </w:style>
  <w:style w:type="character" w:styleId="Hyperlink">
    <w:name w:val="Hyperlink"/>
    <w:basedOn w:val="DefaultParagraphFont"/>
    <w:rsid w:val="00FB2F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ttachments/NeighDisResB10Exp.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ttachments/NeighDisResB10.pdf"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Attachments/Results%20of%20Consultation.doc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539</Words>
  <Characters>2809</Characters>
  <Application>Microsoft Office Word</Application>
  <DocSecurity>0</DocSecurity>
  <Lines>51</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3352</CharactersWithSpaces>
  <SharedDoc>false</SharedDoc>
  <HyperlinkBase>https://www.cabinet.qld.gov.au/documents/2010/Nov/Neighbourhood Disputes Resolution Bill 2010/</HyperlinkBase>
  <HLinks>
    <vt:vector size="18" baseType="variant">
      <vt:variant>
        <vt:i4>3604517</vt:i4>
      </vt:variant>
      <vt:variant>
        <vt:i4>6</vt:i4>
      </vt:variant>
      <vt:variant>
        <vt:i4>0</vt:i4>
      </vt:variant>
      <vt:variant>
        <vt:i4>5</vt:i4>
      </vt:variant>
      <vt:variant>
        <vt:lpwstr>Attachments/Results of Consultation.doc</vt:lpwstr>
      </vt:variant>
      <vt:variant>
        <vt:lpwstr/>
      </vt:variant>
      <vt:variant>
        <vt:i4>5439573</vt:i4>
      </vt:variant>
      <vt:variant>
        <vt:i4>3</vt:i4>
      </vt:variant>
      <vt:variant>
        <vt:i4>0</vt:i4>
      </vt:variant>
      <vt:variant>
        <vt:i4>5</vt:i4>
      </vt:variant>
      <vt:variant>
        <vt:lpwstr>Attachments/NeighDisResB10Exp.pdf</vt:lpwstr>
      </vt:variant>
      <vt:variant>
        <vt:lpwstr/>
      </vt:variant>
      <vt:variant>
        <vt:i4>7798906</vt:i4>
      </vt:variant>
      <vt:variant>
        <vt:i4>0</vt:i4>
      </vt:variant>
      <vt:variant>
        <vt:i4>0</vt:i4>
      </vt:variant>
      <vt:variant>
        <vt:i4>5</vt:i4>
      </vt:variant>
      <vt:variant>
        <vt:lpwstr>Attachments/NeighDisResB10.pdf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cp:lastPrinted>2011-07-27T03:12:00Z</cp:lastPrinted>
  <dcterms:created xsi:type="dcterms:W3CDTF">2017-10-24T22:21:00Z</dcterms:created>
  <dcterms:modified xsi:type="dcterms:W3CDTF">2018-03-06T01:05:00Z</dcterms:modified>
  <cp:category>Legislation,Neighbourly_Relations,Heritage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-492597550</vt:i4>
  </property>
  <property fmtid="{D5CDD505-2E9C-101B-9397-08002B2CF9AE}" pid="4" name="_PreviousAdHocReviewCycleID">
    <vt:i4>656917834</vt:i4>
  </property>
  <property fmtid="{D5CDD505-2E9C-101B-9397-08002B2CF9AE}" pid="5" name="_ReviewingToolsShownOnce">
    <vt:lpwstr/>
  </property>
</Properties>
</file>